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34D8" w14:textId="77777777" w:rsidR="008758E0" w:rsidRPr="007D2ED6" w:rsidRDefault="008758E0" w:rsidP="008758E0">
      <w:pPr>
        <w:jc w:val="center"/>
        <w:rPr>
          <w:rFonts w:ascii="Times New Roman" w:hAnsi="Times New Roman"/>
          <w:b/>
          <w:caps/>
          <w:sz w:val="20"/>
          <w:szCs w:val="20"/>
          <w:lang w:val="hu-HU"/>
        </w:rPr>
      </w:pPr>
      <w:bookmarkStart w:id="0" w:name="_Hlk518126810"/>
      <w:r w:rsidRPr="007D2ED6">
        <w:rPr>
          <w:rFonts w:ascii="Times New Roman" w:hAnsi="Times New Roman"/>
          <w:b/>
          <w:caps/>
          <w:sz w:val="20"/>
          <w:szCs w:val="20"/>
          <w:lang w:val="hu-HU"/>
        </w:rPr>
        <w:t>A tantárgy adatlapja</w:t>
      </w:r>
    </w:p>
    <w:p w14:paraId="35F31A49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 xml:space="preserve">1. A képzési program adatai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86"/>
      </w:tblGrid>
      <w:tr w:rsidR="008758E0" w:rsidRPr="007D2ED6" w14:paraId="021B0BA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37D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1.1 Felsőoktatási intézmény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EED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Babeş</w:t>
            </w:r>
            <w:proofErr w:type="spellEnd"/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–Bolyai Tudományegyetem</w:t>
            </w:r>
          </w:p>
        </w:tc>
      </w:tr>
      <w:tr w:rsidR="008758E0" w:rsidRPr="007D2ED6" w14:paraId="256BCEC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7D3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1.2 Kar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1FA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Bölcsészettudományi Kar</w:t>
            </w:r>
          </w:p>
        </w:tc>
      </w:tr>
      <w:tr w:rsidR="008758E0" w:rsidRPr="007D2ED6" w14:paraId="180F24F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1C43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1.3 Intézet/Tanszék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1102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Irodalomtudományi Intézet</w:t>
            </w:r>
          </w:p>
        </w:tc>
      </w:tr>
      <w:tr w:rsidR="008758E0" w:rsidRPr="007D2ED6" w14:paraId="70DB474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C3C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1.4 Szakterület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EEB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Nyelv és irodalom</w:t>
            </w:r>
          </w:p>
        </w:tc>
      </w:tr>
      <w:tr w:rsidR="008758E0" w:rsidRPr="007D2ED6" w14:paraId="6325013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979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1.5 Képzési szint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3E84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Alapképzés</w:t>
            </w:r>
          </w:p>
        </w:tc>
      </w:tr>
      <w:tr w:rsidR="008758E0" w:rsidRPr="007D2ED6" w14:paraId="7AC9422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0B06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1.6 Szak / Képesítés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A491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nyelv és irodalom</w:t>
            </w:r>
          </w:p>
        </w:tc>
      </w:tr>
    </w:tbl>
    <w:p w14:paraId="15FB3579" w14:textId="77777777" w:rsidR="008758E0" w:rsidRPr="007D2ED6" w:rsidRDefault="008758E0" w:rsidP="008758E0">
      <w:pPr>
        <w:rPr>
          <w:rFonts w:ascii="Times New Roman" w:hAnsi="Times New Roman"/>
          <w:sz w:val="20"/>
          <w:szCs w:val="20"/>
        </w:rPr>
      </w:pPr>
    </w:p>
    <w:p w14:paraId="613F2711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2. A tantárgy adatai</w:t>
      </w:r>
    </w:p>
    <w:tbl>
      <w:tblPr>
        <w:tblW w:w="100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425"/>
        <w:gridCol w:w="420"/>
        <w:gridCol w:w="938"/>
        <w:gridCol w:w="476"/>
        <w:gridCol w:w="278"/>
        <w:gridCol w:w="1779"/>
        <w:gridCol w:w="921"/>
        <w:gridCol w:w="1709"/>
        <w:gridCol w:w="1538"/>
      </w:tblGrid>
      <w:tr w:rsidR="008758E0" w:rsidRPr="007D2ED6" w14:paraId="1399F0C9" w14:textId="77777777" w:rsidTr="007D2ED6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9549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2.1 A tantárgy neve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F0C1" w14:textId="513F9CFE" w:rsidR="008758E0" w:rsidRPr="007D2ED6" w:rsidRDefault="00177ADA" w:rsidP="00190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ED6">
              <w:rPr>
                <w:rFonts w:ascii="Times New Roman" w:hAnsi="Times New Roman"/>
                <w:iCs/>
                <w:sz w:val="20"/>
                <w:szCs w:val="20"/>
              </w:rPr>
              <w:t xml:space="preserve">LLM3010 </w:t>
            </w:r>
            <w:r w:rsidR="008959B2" w:rsidRPr="007D2ED6">
              <w:rPr>
                <w:rFonts w:ascii="Times New Roman" w:hAnsi="Times New Roman"/>
                <w:iCs/>
                <w:sz w:val="20"/>
                <w:szCs w:val="20"/>
              </w:rPr>
              <w:t>Összehasonlító irodalom 1</w:t>
            </w:r>
            <w:r w:rsidR="007D2ED6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736EBA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190E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19. századi angol irodalom</w:t>
            </w:r>
            <w:r w:rsidR="00736E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története összehasonlító irodalomtudományi perspektívában</w:t>
            </w:r>
            <w:r w:rsidR="007D2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58E0" w:rsidRPr="007D2ED6" w14:paraId="44E00B60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0C3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2.2 Az előadásért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42FE" w14:textId="342F7CC1" w:rsidR="008758E0" w:rsidRPr="007D2ED6" w:rsidRDefault="00190E43" w:rsidP="00FB5A0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Séllei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Nóra</w:t>
            </w:r>
          </w:p>
        </w:tc>
      </w:tr>
      <w:tr w:rsidR="008758E0" w:rsidRPr="007D2ED6" w14:paraId="2724EC4F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3A83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2.3 A szemináriumért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AF39" w14:textId="37D5164C" w:rsidR="008758E0" w:rsidRPr="007D2ED6" w:rsidRDefault="00190E43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Séllei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Nóra</w:t>
            </w:r>
          </w:p>
        </w:tc>
      </w:tr>
      <w:tr w:rsidR="008758E0" w:rsidRPr="007D2ED6" w14:paraId="336084BA" w14:textId="77777777" w:rsidTr="007D2ED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AEE" w14:textId="77777777" w:rsidR="008758E0" w:rsidRPr="007D2ED6" w:rsidRDefault="008758E0" w:rsidP="008758E0">
            <w:pPr>
              <w:snapToGrid w:val="0"/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2.4 Tanulmányi év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3A33" w14:textId="77777777" w:rsidR="008758E0" w:rsidRPr="007D2ED6" w:rsidRDefault="00654B42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  <w:r w:rsidR="003309EE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137C67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3309EE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B+MM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72EC" w14:textId="77777777" w:rsidR="008758E0" w:rsidRPr="007D2ED6" w:rsidRDefault="008758E0" w:rsidP="008758E0">
            <w:pPr>
              <w:snapToGrid w:val="0"/>
              <w:spacing w:after="0"/>
              <w:ind w:left="-82" w:right="-16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2.5 Félév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8AA5" w14:textId="77777777" w:rsidR="008758E0" w:rsidRPr="007D2ED6" w:rsidRDefault="00A90EDD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="00654B42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BDA6" w14:textId="77777777" w:rsidR="008758E0" w:rsidRPr="007D2ED6" w:rsidRDefault="008758E0" w:rsidP="008758E0">
            <w:pPr>
              <w:snapToGrid w:val="0"/>
              <w:spacing w:after="0"/>
              <w:ind w:left="-80" w:right="-12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2.6. Az értékelés módja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5DC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5D6D" w14:textId="77777777" w:rsidR="008758E0" w:rsidRPr="007D2ED6" w:rsidRDefault="008758E0" w:rsidP="008758E0">
            <w:pPr>
              <w:snapToGrid w:val="0"/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2.7 A tantárgy típusa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EDC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Kötelező, alaptantárgy</w:t>
            </w:r>
          </w:p>
        </w:tc>
      </w:tr>
    </w:tbl>
    <w:p w14:paraId="18D09057" w14:textId="77777777" w:rsidR="007D2ED6" w:rsidRDefault="007D2ED6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143E18FF" w14:textId="77777777" w:rsidR="008758E0" w:rsidRPr="007D2ED6" w:rsidRDefault="008758E0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3. Teljes becsült idő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oktatási tevékenység féléves óraszáma)</w:t>
      </w:r>
      <w:r w:rsidRPr="007D2ED6">
        <w:rPr>
          <w:rFonts w:ascii="Times New Roman" w:hAnsi="Times New Roman"/>
          <w:color w:val="FF0000"/>
          <w:sz w:val="20"/>
          <w:szCs w:val="20"/>
          <w:lang w:val="hu-HU"/>
        </w:rPr>
        <w:t xml:space="preserve"> </w:t>
      </w:r>
    </w:p>
    <w:p w14:paraId="2D51BBBD" w14:textId="77777777" w:rsidR="008758E0" w:rsidRPr="007D2ED6" w:rsidRDefault="008758E0" w:rsidP="008758E0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758E0" w:rsidRPr="007D2ED6" w14:paraId="3D1A707D" w14:textId="77777777" w:rsidTr="007D2ED6">
        <w:tc>
          <w:tcPr>
            <w:tcW w:w="3790" w:type="dxa"/>
            <w:shd w:val="clear" w:color="auto" w:fill="auto"/>
          </w:tcPr>
          <w:p w14:paraId="339C17FB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3.1 Heti 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0650B541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61463383" w14:textId="77777777" w:rsidR="008758E0" w:rsidRPr="007D2ED6" w:rsidRDefault="008758E0" w:rsidP="008758E0">
            <w:pPr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melyből: 3.2 előadás</w:t>
            </w:r>
          </w:p>
        </w:tc>
        <w:tc>
          <w:tcPr>
            <w:tcW w:w="591" w:type="dxa"/>
            <w:shd w:val="clear" w:color="auto" w:fill="auto"/>
          </w:tcPr>
          <w:p w14:paraId="5D330B92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14:paraId="0A4FB7DC" w14:textId="77777777" w:rsidR="008758E0" w:rsidRPr="007D2ED6" w:rsidRDefault="008758E0" w:rsidP="008758E0">
            <w:pPr>
              <w:spacing w:after="0"/>
              <w:ind w:right="-17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3.3 szeminárium/labor</w:t>
            </w:r>
          </w:p>
        </w:tc>
        <w:tc>
          <w:tcPr>
            <w:tcW w:w="555" w:type="dxa"/>
            <w:shd w:val="clear" w:color="auto" w:fill="auto"/>
          </w:tcPr>
          <w:p w14:paraId="2F4D21E7" w14:textId="77777777" w:rsidR="008758E0" w:rsidRPr="007D2ED6" w:rsidRDefault="008D0AF3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8758E0" w:rsidRPr="007D2ED6" w14:paraId="43A61EB4" w14:textId="77777777" w:rsidTr="007D2ED6">
        <w:tc>
          <w:tcPr>
            <w:tcW w:w="3790" w:type="dxa"/>
            <w:shd w:val="clear" w:color="auto" w:fill="auto"/>
          </w:tcPr>
          <w:p w14:paraId="3A5A2F85" w14:textId="77777777" w:rsidR="008758E0" w:rsidRPr="007D2ED6" w:rsidRDefault="008758E0" w:rsidP="008758E0">
            <w:pPr>
              <w:spacing w:after="0"/>
              <w:ind w:right="-19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3.4 A tantervben szereplő </w:t>
            </w:r>
            <w:proofErr w:type="spellStart"/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összóraszám</w:t>
            </w:r>
            <w:proofErr w:type="spellEnd"/>
          </w:p>
        </w:tc>
        <w:tc>
          <w:tcPr>
            <w:tcW w:w="574" w:type="dxa"/>
            <w:gridSpan w:val="2"/>
            <w:shd w:val="clear" w:color="auto" w:fill="auto"/>
          </w:tcPr>
          <w:p w14:paraId="30DDDF6D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56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4AD137D5" w14:textId="77777777" w:rsidR="008758E0" w:rsidRPr="007D2ED6" w:rsidRDefault="008758E0" w:rsidP="008758E0">
            <w:pPr>
              <w:spacing w:after="0"/>
              <w:ind w:right="-178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melyből: 3.5 előadás</w:t>
            </w:r>
          </w:p>
        </w:tc>
        <w:tc>
          <w:tcPr>
            <w:tcW w:w="591" w:type="dxa"/>
            <w:shd w:val="clear" w:color="auto" w:fill="auto"/>
          </w:tcPr>
          <w:p w14:paraId="5757BB0C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</w:p>
        </w:tc>
        <w:tc>
          <w:tcPr>
            <w:tcW w:w="2413" w:type="dxa"/>
            <w:shd w:val="clear" w:color="auto" w:fill="auto"/>
          </w:tcPr>
          <w:p w14:paraId="5BAF9EF0" w14:textId="77777777" w:rsidR="008758E0" w:rsidRPr="007D2ED6" w:rsidRDefault="008758E0" w:rsidP="008758E0">
            <w:pPr>
              <w:spacing w:after="0"/>
              <w:ind w:right="-128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3.6 szeminárium/labor</w:t>
            </w:r>
          </w:p>
        </w:tc>
        <w:tc>
          <w:tcPr>
            <w:tcW w:w="555" w:type="dxa"/>
            <w:shd w:val="clear" w:color="auto" w:fill="auto"/>
          </w:tcPr>
          <w:p w14:paraId="7B714662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</w:p>
        </w:tc>
      </w:tr>
      <w:tr w:rsidR="008758E0" w:rsidRPr="007D2ED6" w14:paraId="3E58ECF3" w14:textId="77777777" w:rsidTr="007D2ED6">
        <w:tc>
          <w:tcPr>
            <w:tcW w:w="9470" w:type="dxa"/>
            <w:gridSpan w:val="7"/>
            <w:shd w:val="clear" w:color="auto" w:fill="auto"/>
          </w:tcPr>
          <w:p w14:paraId="56F4B808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tanulmányi idő elosztása:</w:t>
            </w:r>
          </w:p>
        </w:tc>
        <w:tc>
          <w:tcPr>
            <w:tcW w:w="555" w:type="dxa"/>
            <w:shd w:val="clear" w:color="auto" w:fill="auto"/>
          </w:tcPr>
          <w:p w14:paraId="0544E02E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óra</w:t>
            </w:r>
          </w:p>
        </w:tc>
      </w:tr>
      <w:tr w:rsidR="008758E0" w:rsidRPr="007D2ED6" w14:paraId="70A89632" w14:textId="77777777" w:rsidTr="007D2ED6">
        <w:tc>
          <w:tcPr>
            <w:tcW w:w="9470" w:type="dxa"/>
            <w:gridSpan w:val="7"/>
            <w:shd w:val="clear" w:color="auto" w:fill="auto"/>
          </w:tcPr>
          <w:p w14:paraId="7486EE81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tankönyv, a jegyzet, a szakirodalom vagy saját jegyzetek tanulmányozása</w:t>
            </w:r>
          </w:p>
        </w:tc>
        <w:tc>
          <w:tcPr>
            <w:tcW w:w="555" w:type="dxa"/>
            <w:shd w:val="clear" w:color="auto" w:fill="auto"/>
          </w:tcPr>
          <w:p w14:paraId="7778CEF5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13</w:t>
            </w:r>
          </w:p>
        </w:tc>
      </w:tr>
      <w:tr w:rsidR="008758E0" w:rsidRPr="007D2ED6" w14:paraId="108747BB" w14:textId="77777777" w:rsidTr="007D2ED6">
        <w:tc>
          <w:tcPr>
            <w:tcW w:w="9470" w:type="dxa"/>
            <w:gridSpan w:val="7"/>
            <w:shd w:val="clear" w:color="auto" w:fill="auto"/>
          </w:tcPr>
          <w:p w14:paraId="0E96EC7C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Könyvtárban, elektronikus adatbázisokban vagy terepen való további tájékozódás</w:t>
            </w:r>
          </w:p>
        </w:tc>
        <w:tc>
          <w:tcPr>
            <w:tcW w:w="555" w:type="dxa"/>
            <w:shd w:val="clear" w:color="auto" w:fill="auto"/>
          </w:tcPr>
          <w:p w14:paraId="4EFB0F50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13</w:t>
            </w:r>
          </w:p>
        </w:tc>
      </w:tr>
      <w:tr w:rsidR="008758E0" w:rsidRPr="007D2ED6" w14:paraId="384E0F3C" w14:textId="77777777" w:rsidTr="007D2ED6">
        <w:tc>
          <w:tcPr>
            <w:tcW w:w="9470" w:type="dxa"/>
            <w:gridSpan w:val="7"/>
            <w:shd w:val="clear" w:color="auto" w:fill="auto"/>
          </w:tcPr>
          <w:p w14:paraId="30D79857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Szemináriumok / házi feladatok, portfóliók, referátumok, esszék kidolgozása</w:t>
            </w:r>
          </w:p>
        </w:tc>
        <w:tc>
          <w:tcPr>
            <w:tcW w:w="555" w:type="dxa"/>
            <w:shd w:val="clear" w:color="auto" w:fill="auto"/>
          </w:tcPr>
          <w:p w14:paraId="59FC1F6A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12</w:t>
            </w:r>
          </w:p>
        </w:tc>
      </w:tr>
      <w:tr w:rsidR="008758E0" w:rsidRPr="007D2ED6" w14:paraId="3CBE2B53" w14:textId="77777777" w:rsidTr="007D2ED6">
        <w:tc>
          <w:tcPr>
            <w:tcW w:w="9470" w:type="dxa"/>
            <w:gridSpan w:val="7"/>
            <w:shd w:val="clear" w:color="auto" w:fill="auto"/>
          </w:tcPr>
          <w:p w14:paraId="25AB2F97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555" w:type="dxa"/>
            <w:shd w:val="clear" w:color="auto" w:fill="auto"/>
          </w:tcPr>
          <w:p w14:paraId="334D6F93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8758E0" w:rsidRPr="007D2ED6" w14:paraId="0D5568AF" w14:textId="77777777" w:rsidTr="007D2ED6">
        <w:tc>
          <w:tcPr>
            <w:tcW w:w="9470" w:type="dxa"/>
            <w:gridSpan w:val="7"/>
            <w:shd w:val="clear" w:color="auto" w:fill="auto"/>
          </w:tcPr>
          <w:p w14:paraId="6690EF95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Vizsgák</w:t>
            </w:r>
          </w:p>
        </w:tc>
        <w:tc>
          <w:tcPr>
            <w:tcW w:w="555" w:type="dxa"/>
            <w:shd w:val="clear" w:color="auto" w:fill="auto"/>
          </w:tcPr>
          <w:p w14:paraId="61441E90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8758E0" w:rsidRPr="007D2ED6" w14:paraId="7A692FEB" w14:textId="77777777" w:rsidTr="007D2ED6">
        <w:tc>
          <w:tcPr>
            <w:tcW w:w="9470" w:type="dxa"/>
            <w:gridSpan w:val="7"/>
            <w:shd w:val="clear" w:color="auto" w:fill="auto"/>
          </w:tcPr>
          <w:p w14:paraId="209DCA68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Más tevékenységek:</w:t>
            </w:r>
          </w:p>
        </w:tc>
        <w:tc>
          <w:tcPr>
            <w:tcW w:w="555" w:type="dxa"/>
            <w:shd w:val="clear" w:color="auto" w:fill="auto"/>
          </w:tcPr>
          <w:p w14:paraId="606AC089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8758E0" w:rsidRPr="007D2ED6" w14:paraId="56037A3F" w14:textId="77777777" w:rsidTr="007D2ED6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306036A5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3.7 Egyéni munka </w:t>
            </w:r>
            <w:proofErr w:type="spellStart"/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össz-óraszáma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14:paraId="761D1D8C" w14:textId="77777777" w:rsidR="008758E0" w:rsidRPr="007D2ED6" w:rsidRDefault="00495E3B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42</w:t>
            </w:r>
          </w:p>
        </w:tc>
      </w:tr>
      <w:tr w:rsidR="008758E0" w:rsidRPr="007D2ED6" w14:paraId="2C8E455A" w14:textId="77777777" w:rsidTr="007D2ED6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5E759C6D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3.8 A félév </w:t>
            </w:r>
            <w:proofErr w:type="spellStart"/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össz-óraszáma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14:paraId="60FEDDC2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98</w:t>
            </w:r>
          </w:p>
        </w:tc>
      </w:tr>
      <w:tr w:rsidR="008758E0" w:rsidRPr="007D2ED6" w14:paraId="4E299993" w14:textId="77777777" w:rsidTr="007D2ED6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69075A6B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A24BB12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</w:tbl>
    <w:p w14:paraId="2CF575CB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FB4BAF8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4. Előfeltételek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(ha vannak)</w:t>
      </w:r>
      <w:r w:rsidRPr="007D2ED6">
        <w:rPr>
          <w:rFonts w:ascii="Times New Roman" w:hAnsi="Times New Roman"/>
          <w:color w:val="FF0000"/>
          <w:sz w:val="20"/>
          <w:szCs w:val="20"/>
          <w:lang w:val="hu-H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71"/>
      </w:tblGrid>
      <w:tr w:rsidR="008758E0" w:rsidRPr="007D2ED6" w14:paraId="2647BD1A" w14:textId="77777777" w:rsidTr="007D2ED6">
        <w:tc>
          <w:tcPr>
            <w:tcW w:w="2760" w:type="dxa"/>
          </w:tcPr>
          <w:p w14:paraId="3375AE36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4.1 Tantervi</w:t>
            </w:r>
          </w:p>
        </w:tc>
        <w:tc>
          <w:tcPr>
            <w:tcW w:w="7271" w:type="dxa"/>
          </w:tcPr>
          <w:p w14:paraId="44A91998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1431F4F5" w14:textId="77777777" w:rsidTr="007D2ED6">
        <w:tc>
          <w:tcPr>
            <w:tcW w:w="2760" w:type="dxa"/>
          </w:tcPr>
          <w:p w14:paraId="292E62F7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4.2 Kompetenciabeli</w:t>
            </w:r>
          </w:p>
        </w:tc>
        <w:tc>
          <w:tcPr>
            <w:tcW w:w="7271" w:type="dxa"/>
          </w:tcPr>
          <w:p w14:paraId="7397735F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B8F0EC7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1A36D5D7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5. Feltételek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</w:t>
      </w:r>
    </w:p>
    <w:tbl>
      <w:tblPr>
        <w:tblpPr w:leftFromText="180" w:rightFromText="180" w:vertAnchor="text" w:horzAnchor="margin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8758E0" w:rsidRPr="007D2ED6" w14:paraId="1E55FB98" w14:textId="77777777" w:rsidTr="007D2ED6">
        <w:tc>
          <w:tcPr>
            <w:tcW w:w="2694" w:type="dxa"/>
          </w:tcPr>
          <w:p w14:paraId="44B66203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5.1 Az előadás lebonyolításának feltételei</w:t>
            </w:r>
          </w:p>
        </w:tc>
        <w:tc>
          <w:tcPr>
            <w:tcW w:w="7337" w:type="dxa"/>
          </w:tcPr>
          <w:p w14:paraId="23DADCD1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előadóterem, vetítő, laptop, hangszórók</w:t>
            </w:r>
          </w:p>
        </w:tc>
      </w:tr>
      <w:tr w:rsidR="008758E0" w:rsidRPr="007D2ED6" w14:paraId="1EE30631" w14:textId="77777777" w:rsidTr="007D2ED6">
        <w:tc>
          <w:tcPr>
            <w:tcW w:w="2694" w:type="dxa"/>
          </w:tcPr>
          <w:p w14:paraId="63A1BC80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5.2 A szeminárium / labor lebonyolításának feltételei</w:t>
            </w:r>
          </w:p>
        </w:tc>
        <w:tc>
          <w:tcPr>
            <w:tcW w:w="7337" w:type="dxa"/>
          </w:tcPr>
          <w:p w14:paraId="4EC962E0" w14:textId="77777777" w:rsidR="008758E0" w:rsidRPr="007D2ED6" w:rsidRDefault="008758E0" w:rsidP="00201E7B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06713EFA" w14:textId="77777777" w:rsidR="008758E0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34B8E820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34ADDA95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0CA7607F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0C2D9DDD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D0DE3D4" w14:textId="77777777" w:rsidR="0092407C" w:rsidRPr="007D2ED6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189A0A3" w14:textId="77777777" w:rsidR="008758E0" w:rsidRDefault="008758E0" w:rsidP="008758E0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lastRenderedPageBreak/>
        <w:t>6. Elsajátítandó kompetenciák</w:t>
      </w:r>
      <w:r w:rsidRPr="007D2ED6"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  <w:t xml:space="preserve"> </w:t>
      </w:r>
    </w:p>
    <w:p w14:paraId="28EA0CDD" w14:textId="77777777" w:rsidR="0092407C" w:rsidRPr="007D2ED6" w:rsidRDefault="0092407C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2D6EB2" w:rsidRPr="007D2ED6" w14:paraId="4528FAA8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  <w:vAlign w:val="center"/>
          </w:tcPr>
          <w:p w14:paraId="57E4604F" w14:textId="77777777" w:rsidR="002D6EB2" w:rsidRPr="007D2ED6" w:rsidRDefault="002D6EB2" w:rsidP="002D6E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Szakmai kompetenciák</w:t>
            </w:r>
          </w:p>
        </w:tc>
        <w:tc>
          <w:tcPr>
            <w:tcW w:w="7371" w:type="dxa"/>
          </w:tcPr>
          <w:p w14:paraId="6F4FA165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C1.1 Definirea conceptelor, identificarea  si exemplificarea limbajului specific literaturii comparate; cunoașterea unor metode de analiza specifice studiului interdiscplinar al stiintelor umaniste.</w:t>
            </w:r>
          </w:p>
          <w:p w14:paraId="5CEF92B4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C1.2 Descrierea conceptelor, perspectivelor si metodelor utilizate în filozofia artei și în teoria literara contemporană.</w:t>
            </w:r>
          </w:p>
          <w:p w14:paraId="6DDBFCB2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1.3. Aplicarea conceptelor provenite din filozofia artei si investigarea dinamica a fenomenelor literare/culturale. Relationarea discursului literar cu discursul cultural, în general, dar si cu cel filozofic.</w:t>
            </w:r>
          </w:p>
          <w:p w14:paraId="2B7A3BCA" w14:textId="77777777" w:rsidR="002D6EB2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1.4. Abordarea critica a ideilor si orientarilor teoretice în studiul literaturii.</w:t>
            </w:r>
          </w:p>
          <w:p w14:paraId="0B54896E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C1.5.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Elaborarea unui discurs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oral/scris complex, boga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lexical si sintactic,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articulat precis din punct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de vedere logic, pe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tema de literatura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comparata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EB2" w:rsidRPr="007D2ED6" w14:paraId="7D42C1C2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</w:tcPr>
          <w:p w14:paraId="5024D3A0" w14:textId="77777777" w:rsidR="002D6EB2" w:rsidRPr="007D2ED6" w:rsidRDefault="002D6EB2" w:rsidP="002D6E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Általános kompetenciák </w:t>
            </w:r>
          </w:p>
        </w:tc>
        <w:tc>
          <w:tcPr>
            <w:tcW w:w="7371" w:type="dxa"/>
          </w:tcPr>
          <w:p w14:paraId="2FD77DBD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CT1 Utilizarea componentelor domeniului limba si literatura, în deplina concordanta cu etica profesionala.</w:t>
            </w:r>
          </w:p>
          <w:p w14:paraId="78FF829D" w14:textId="77777777" w:rsidR="002D6EB2" w:rsidRPr="001A2380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CT2 Relationarea în echipa; comunicarea interpersonala si asumarea de roluri specifice.</w:t>
            </w:r>
          </w:p>
        </w:tc>
      </w:tr>
    </w:tbl>
    <w:p w14:paraId="05103215" w14:textId="77777777" w:rsidR="008758E0" w:rsidRPr="007D2ED6" w:rsidRDefault="008758E0" w:rsidP="002D6EB2">
      <w:pPr>
        <w:widowControl w:val="0"/>
        <w:autoSpaceDE w:val="0"/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595DF3D1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7. A tantárgy célkitűzései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elsajátítandó kompetenciák alapján)</w:t>
      </w:r>
    </w:p>
    <w:p w14:paraId="045F8EDE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378"/>
      </w:tblGrid>
      <w:tr w:rsidR="00FB42C3" w:rsidRPr="007D2ED6" w14:paraId="1A091578" w14:textId="77777777" w:rsidTr="007D2ED6">
        <w:tc>
          <w:tcPr>
            <w:tcW w:w="2653" w:type="dxa"/>
            <w:shd w:val="clear" w:color="auto" w:fill="auto"/>
          </w:tcPr>
          <w:p w14:paraId="60F88A60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7.1 A tantárgy általános célkitűzése</w:t>
            </w:r>
          </w:p>
        </w:tc>
        <w:tc>
          <w:tcPr>
            <w:tcW w:w="7378" w:type="dxa"/>
            <w:shd w:val="clear" w:color="auto" w:fill="auto"/>
          </w:tcPr>
          <w:p w14:paraId="39E179C4" w14:textId="2AAB8DAC" w:rsidR="008758E0" w:rsidRPr="008945B3" w:rsidRDefault="00C33981" w:rsidP="00C541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előadáskurzus a kísérő szemináriummal együtt áttekinti a 19. századi angol irodalom legfontosabb folyamatait, elsősorban a korszak két domináns </w:t>
            </w:r>
            <w:r w:rsidR="00C541A0">
              <w:rPr>
                <w:rFonts w:ascii="Times New Roman" w:hAnsi="Times New Roman"/>
                <w:sz w:val="20"/>
                <w:szCs w:val="20"/>
                <w:lang w:val="hu-HU"/>
              </w:rPr>
              <w:t>irodalmi beszédmódjára,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szépprózára és a költészetre koncentrálva</w:t>
            </w:r>
            <w:r w:rsidR="00C541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mindezt magyar és európai kontextusba helyezve, azt vizsgálva, hogy az egyes kultúrkörökben miképp alakultak az egyes irodalmi beszédmódok implikációi, „tétjei”, illetve milyen esztétikai elvek következtében jöttek létre az egyes életművek.</w:t>
            </w:r>
          </w:p>
        </w:tc>
      </w:tr>
      <w:tr w:rsidR="00FB42C3" w:rsidRPr="007D2ED6" w14:paraId="5C0B5C30" w14:textId="77777777" w:rsidTr="007D2ED6">
        <w:tc>
          <w:tcPr>
            <w:tcW w:w="2653" w:type="dxa"/>
            <w:shd w:val="clear" w:color="auto" w:fill="auto"/>
          </w:tcPr>
          <w:p w14:paraId="69895816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7.2 A tantárgy sajátos célkitűzései</w:t>
            </w:r>
          </w:p>
          <w:p w14:paraId="5505265F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19DF74F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42561A5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91FEFE1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294244A9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E50CA87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378" w:type="dxa"/>
            <w:shd w:val="clear" w:color="auto" w:fill="auto"/>
          </w:tcPr>
          <w:p w14:paraId="2C7693A8" w14:textId="40529B8F" w:rsidR="00793ADF" w:rsidRPr="007D2ED6" w:rsidRDefault="00C541A0" w:rsidP="00C54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kurzus különös hangsúlyt fektet arra a kérdésre, hogy a 19. században milyenek voltak az írónők megszólalási lehetőségei, milyen műfajok álltak a rendelkezésükre, és milyen beszédmódok révén válhatott valóra az a folyamat, amelyet Virginia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Woolf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így ír le: </w:t>
            </w:r>
            <w:r w:rsidRPr="00C541A0">
              <w:rPr>
                <w:rFonts w:ascii="Times New Roman" w:hAnsi="Times New Roman"/>
                <w:sz w:val="20"/>
                <w:szCs w:val="20"/>
                <w:lang w:val="hu-HU"/>
              </w:rPr>
              <w:t>„</w:t>
            </w:r>
            <w:r w:rsidRPr="00C541A0">
              <w:rPr>
                <w:rFonts w:ascii="Times New Roman" w:hAnsi="Times New Roman"/>
                <w:sz w:val="20"/>
                <w:szCs w:val="20"/>
              </w:rPr>
              <w:t>Így a tizennyolcadik század végére olyan változás állt elő, melyet, ha újraírnám a történelmet, sokkal részletesebben írnék le, és sokkal jelentősebbnek tartanék, mint a keresztes hadjáratokat vagy a rózsák háborúját.</w:t>
            </w:r>
            <w:proofErr w:type="gramEnd"/>
            <w:r w:rsidRPr="00C541A0">
              <w:rPr>
                <w:rFonts w:ascii="Times New Roman" w:hAnsi="Times New Roman"/>
                <w:sz w:val="20"/>
                <w:szCs w:val="20"/>
              </w:rPr>
              <w:t xml:space="preserve"> A középosztálybeli nő írni kezdett.” (</w:t>
            </w:r>
            <w:r w:rsidRPr="00C541A0">
              <w:rPr>
                <w:rFonts w:ascii="Times New Roman" w:hAnsi="Times New Roman"/>
                <w:i/>
                <w:sz w:val="20"/>
                <w:szCs w:val="20"/>
              </w:rPr>
              <w:t>Saját szoba</w:t>
            </w:r>
            <w:r w:rsidRPr="00C541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ADC7435" w14:textId="3AE18D7D" w:rsidR="008758E0" w:rsidRPr="007D2ED6" w:rsidRDefault="000A3CBC" w:rsidP="008758E0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 xml:space="preserve"> </w:t>
      </w:r>
    </w:p>
    <w:p w14:paraId="35FC53C0" w14:textId="77777777" w:rsidR="0092407C" w:rsidRDefault="0092407C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3662D5C5" w14:textId="77777777" w:rsidR="008758E0" w:rsidRPr="007D2ED6" w:rsidRDefault="008758E0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8. A tantárgy tartalma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552"/>
        <w:gridCol w:w="1559"/>
      </w:tblGrid>
      <w:tr w:rsidR="008758E0" w:rsidRPr="007D2ED6" w14:paraId="43EFCE92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A91B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8.1 Előadás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2FAC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Didaktikai módszerek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C28A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Megjegyzések</w:t>
            </w:r>
          </w:p>
        </w:tc>
      </w:tr>
      <w:tr w:rsidR="008758E0" w:rsidRPr="007D2ED6" w14:paraId="12375AB5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2D62" w14:textId="5E75CBEE" w:rsidR="00B651DD" w:rsidRPr="0092407C" w:rsidRDefault="003A0DDA" w:rsidP="004A1C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1-2. </w:t>
            </w:r>
            <w:r w:rsidR="00973990"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 gótikus (rém)regény és írónők a 18-19. század fordulóján: Jane Austen és az etikettregény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E25E" w14:textId="77777777" w:rsidR="008758E0" w:rsidRPr="0092407C" w:rsidRDefault="00102A8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FAD9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07BFC68A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CC95" w14:textId="496762A5" w:rsidR="008758E0" w:rsidRPr="0092407C" w:rsidRDefault="003A0DDA" w:rsidP="00C51C4F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3-4.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Az angol romantika és komparatív kontextusa 1-2: az angol romantikus költők két nemzedéke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50DD" w14:textId="77777777" w:rsidR="008758E0" w:rsidRPr="0092407C" w:rsidRDefault="00102A8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F4DE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103EEBAE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E01D" w14:textId="458C3A68" w:rsidR="008758E0" w:rsidRPr="0092407C" w:rsidRDefault="008B1DB0" w:rsidP="004A1C01">
            <w:pPr>
              <w:tabs>
                <w:tab w:val="left" w:pos="219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5-6. </w:t>
            </w:r>
            <w:r w:rsidR="00E4426A"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Az angol romantika és komparatív kontextusa 3: A történelmi regény és a Brontë-nővérek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9AFE" w14:textId="77777777" w:rsidR="008758E0" w:rsidRPr="0092407C" w:rsidRDefault="00102A8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CFAD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29F37D70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2E82" w14:textId="19A80632" w:rsidR="008758E0" w:rsidRPr="0092407C" w:rsidRDefault="00FF34D9" w:rsidP="00C51C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7-8. </w:t>
            </w:r>
            <w:r w:rsidR="00E4426A"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 viktoriánus korszak 1-2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061E" w14:textId="77777777" w:rsidR="008758E0" w:rsidRPr="0092407C" w:rsidRDefault="00102A8A" w:rsidP="00BD7B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A561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1EA56B07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8818" w14:textId="1A800FEB" w:rsidR="008758E0" w:rsidRPr="0092407C" w:rsidRDefault="009A4E21" w:rsidP="00C51C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9-10.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 viktoriánus korszak 3.; A viktoriánus költészet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D9F6" w14:textId="77777777" w:rsidR="008758E0" w:rsidRPr="0092407C" w:rsidRDefault="00BD7B29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72A9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743837D2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96FF" w14:textId="4A26BCA2" w:rsidR="008758E0" w:rsidRPr="0092407C" w:rsidRDefault="007E213E" w:rsidP="004A1C0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sz w:val="20"/>
                <w:szCs w:val="20"/>
              </w:rPr>
              <w:t>11-12.</w:t>
            </w:r>
            <w:r w:rsidR="004A1C01" w:rsidRPr="009240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>A realista és a naturalista regény; Írónők a 19. század második felében Angliában és Magyarországon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7454" w14:textId="77777777" w:rsidR="008758E0" w:rsidRPr="0092407C" w:rsidRDefault="00102A8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7D21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53341" w:rsidRPr="007D2ED6" w14:paraId="4EDBA1EF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171A" w14:textId="31CF3430" w:rsidR="00D53341" w:rsidRPr="0092407C" w:rsidRDefault="00295A70" w:rsidP="004A1C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b/>
                <w:sz w:val="20"/>
                <w:szCs w:val="20"/>
              </w:rPr>
              <w:t>13-14.</w:t>
            </w:r>
            <w:r w:rsidR="004A1C01" w:rsidRPr="0092407C">
              <w:rPr>
                <w:rFonts w:ascii="Times New Roman" w:hAnsi="Times New Roman"/>
                <w:sz w:val="20"/>
                <w:szCs w:val="20"/>
              </w:rPr>
              <w:t xml:space="preserve"> Képzőművészet, populáris kultúra és az életmód vá</w:t>
            </w:r>
            <w:r w:rsidR="003C52CF">
              <w:rPr>
                <w:rFonts w:ascii="Times New Roman" w:hAnsi="Times New Roman"/>
                <w:sz w:val="20"/>
                <w:szCs w:val="20"/>
              </w:rPr>
              <w:t>ltozása a viktoriánus korban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2B99" w14:textId="77777777" w:rsidR="00D53341" w:rsidRPr="0092407C" w:rsidRDefault="00695B3E" w:rsidP="00144E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 és szövegelemzés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3651" w14:textId="77777777" w:rsidR="00D53341" w:rsidRPr="0092407C" w:rsidRDefault="00D53341" w:rsidP="00144E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35349E08" w14:textId="77777777" w:rsidTr="007D2ED6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7B4F" w14:textId="77B219EF" w:rsidR="006D3E36" w:rsidRPr="00277960" w:rsidRDefault="006D3E36" w:rsidP="006D3E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 xml:space="preserve">Kötelező </w:t>
            </w:r>
            <w:r w:rsidR="00277960" w:rsidRPr="00277960">
              <w:rPr>
                <w:rFonts w:ascii="Times New Roman" w:hAnsi="Times New Roman"/>
                <w:sz w:val="20"/>
                <w:szCs w:val="20"/>
                <w:u w:val="single"/>
              </w:rPr>
              <w:t xml:space="preserve">szépirodalmi </w:t>
            </w:r>
            <w:r w:rsidR="00C33981" w:rsidRPr="00277960">
              <w:rPr>
                <w:rFonts w:ascii="Times New Roman" w:hAnsi="Times New Roman"/>
                <w:sz w:val="20"/>
                <w:szCs w:val="20"/>
                <w:u w:val="single"/>
              </w:rPr>
              <w:t>olvasmányok</w:t>
            </w: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4E69ED88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Jane Austen: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Büszkeség és balítélet</w:t>
            </w:r>
          </w:p>
          <w:p w14:paraId="50CA4DBA" w14:textId="77777777" w:rsidR="00C33981" w:rsidRPr="0092407C" w:rsidRDefault="00C33981" w:rsidP="00C339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Anne Brontë: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Wildfell Hall asszonya</w:t>
            </w:r>
          </w:p>
          <w:p w14:paraId="75381BA5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Jane Eyre</w:t>
            </w:r>
          </w:p>
          <w:p w14:paraId="7C14B1CE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Shirley</w:t>
            </w:r>
          </w:p>
          <w:p w14:paraId="40EFD757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Emily Brontë: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Üvöltő szelek</w:t>
            </w:r>
          </w:p>
          <w:p w14:paraId="5FABBFFD" w14:textId="705CE5F0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Charles Dickens: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Nagy várakozások</w:t>
            </w:r>
          </w:p>
          <w:p w14:paraId="4C24FDC5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George Eliot: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Malom a folyón</w:t>
            </w:r>
          </w:p>
          <w:p w14:paraId="28805573" w14:textId="5E5AE262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Thomas Hardy: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 xml:space="preserve"> Egy tiszta nő</w:t>
            </w:r>
          </w:p>
          <w:p w14:paraId="42284E40" w14:textId="55D2E3D4" w:rsidR="00C33981" w:rsidRPr="0092407C" w:rsidRDefault="00C33981" w:rsidP="00C33981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Mary Shelley: </w:t>
            </w:r>
            <w:r w:rsidRPr="0092407C">
              <w:rPr>
                <w:rFonts w:ascii="Times New Roman" w:hAnsi="Times New Roman"/>
                <w:i/>
                <w:sz w:val="20"/>
                <w:szCs w:val="20"/>
              </w:rPr>
              <w:t>Frankenstein</w:t>
            </w:r>
          </w:p>
          <w:p w14:paraId="1F4EC55E" w14:textId="77777777" w:rsidR="00C33981" w:rsidRPr="0092407C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Alfred Tennyson, Robert Browning és Elizabeth Barrett Browning válogatott versei</w:t>
            </w:r>
          </w:p>
          <w:p w14:paraId="67C14545" w14:textId="77777777" w:rsidR="00DB3775" w:rsidRDefault="00C33981" w:rsidP="00C33981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William Wordsworth, Samuel Taylor Coleridge, Percy Bysshe Shelley és John Keats válogatott költeményei</w:t>
            </w:r>
            <w:r w:rsidR="00FC4027" w:rsidRPr="00924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B5EE6" w14:textId="77777777" w:rsidR="00760156" w:rsidRPr="00760156" w:rsidRDefault="00760156" w:rsidP="00C33981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0156">
              <w:rPr>
                <w:rFonts w:ascii="Times New Roman" w:hAnsi="Times New Roman"/>
                <w:sz w:val="20"/>
                <w:szCs w:val="20"/>
                <w:u w:val="single"/>
              </w:rPr>
              <w:t>Szakirodalom:</w:t>
            </w:r>
          </w:p>
          <w:p w14:paraId="12671B3F" w14:textId="77777777" w:rsidR="00760156" w:rsidRDefault="00760156" w:rsidP="00C33981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Bármelyik angol nyelvű irodalomtörténeti kézikönyv 19. századi fejezete(i)</w:t>
            </w:r>
          </w:p>
          <w:p w14:paraId="04CCDD6A" w14:textId="4256E62D" w:rsidR="0009282D" w:rsidRDefault="0009282D" w:rsidP="00C33981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09282D">
              <w:rPr>
                <w:rFonts w:ascii="Times New Roman" w:hAnsi="Times New Roman"/>
                <w:i/>
                <w:sz w:val="20"/>
                <w:szCs w:val="20"/>
              </w:rPr>
              <w:t>Írók világa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sorozat releváns kötetei</w:t>
            </w:r>
          </w:p>
          <w:p w14:paraId="588659EC" w14:textId="2CE8A2EC" w:rsidR="00760156" w:rsidRPr="0092407C" w:rsidRDefault="0009282D" w:rsidP="0009282D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Séllei Nóra: </w:t>
            </w:r>
            <w:r w:rsidRPr="0009282D">
              <w:rPr>
                <w:rFonts w:ascii="Times New Roman" w:hAnsi="Times New Roman"/>
                <w:i/>
                <w:sz w:val="20"/>
                <w:szCs w:val="20"/>
              </w:rPr>
              <w:t>Lánnyá válik, s írni kezd: 19. századi angol írónők</w:t>
            </w:r>
            <w:r>
              <w:rPr>
                <w:rFonts w:ascii="Times New Roman" w:hAnsi="Times New Roman"/>
                <w:sz w:val="20"/>
                <w:szCs w:val="20"/>
              </w:rPr>
              <w:t>. Debrecen: Debreceni Egye</w:t>
            </w:r>
            <w:r w:rsidR="00176C44">
              <w:rPr>
                <w:rFonts w:ascii="Times New Roman" w:hAnsi="Times New Roman"/>
                <w:sz w:val="20"/>
                <w:szCs w:val="20"/>
              </w:rPr>
              <w:t>temi Kiadó: 1999 (és további kia</w:t>
            </w:r>
            <w:r>
              <w:rPr>
                <w:rFonts w:ascii="Times New Roman" w:hAnsi="Times New Roman"/>
                <w:sz w:val="20"/>
                <w:szCs w:val="20"/>
              </w:rPr>
              <w:t>dások, pl. 2017).</w:t>
            </w:r>
          </w:p>
        </w:tc>
      </w:tr>
      <w:tr w:rsidR="008758E0" w:rsidRPr="002D6EB2" w14:paraId="610E3CAF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76F1" w14:textId="77777777" w:rsidR="008758E0" w:rsidRPr="002D6EB2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D6E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lastRenderedPageBreak/>
              <w:t>8.2 Szeminárium / Labor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D3D2" w14:textId="77777777" w:rsidR="008758E0" w:rsidRPr="002D6EB2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D6E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Didaktikai módszerek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D1B8" w14:textId="77777777" w:rsidR="008758E0" w:rsidRPr="002D6EB2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D6E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Megjegyzések</w:t>
            </w:r>
          </w:p>
        </w:tc>
      </w:tr>
      <w:tr w:rsidR="008758E0" w:rsidRPr="00C33981" w14:paraId="13611B83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A500" w14:textId="77777777" w:rsidR="004A1C01" w:rsidRPr="00C33981" w:rsidRDefault="006B04A1" w:rsidP="00C51C4F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1-2. </w:t>
            </w:r>
            <w:r w:rsidR="004A1C01" w:rsidRPr="00C33981">
              <w:rPr>
                <w:rFonts w:ascii="Times New Roman" w:hAnsi="Times New Roman"/>
                <w:sz w:val="20"/>
                <w:szCs w:val="20"/>
              </w:rPr>
              <w:t xml:space="preserve">Mary Shelley: </w:t>
            </w:r>
            <w:r w:rsidR="004A1C01" w:rsidRPr="00C33981">
              <w:rPr>
                <w:rFonts w:ascii="Times New Roman" w:hAnsi="Times New Roman"/>
                <w:i/>
                <w:sz w:val="20"/>
                <w:szCs w:val="20"/>
              </w:rPr>
              <w:t>Frankenstein</w:t>
            </w:r>
            <w:r w:rsidR="004A1C01" w:rsidRPr="00C339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7A3AF24B" w14:textId="3C479F75" w:rsidR="008758E0" w:rsidRPr="00C33981" w:rsidRDefault="004A1C01" w:rsidP="00C51C4F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Jane Austen: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Büszkeség és balítélet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1697" w14:textId="0D8159D2" w:rsidR="008758E0" w:rsidRPr="00C33981" w:rsidRDefault="00C51C4F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75B3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6D086B73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1EF7" w14:textId="55ED6425" w:rsidR="008758E0" w:rsidRPr="00C33981" w:rsidRDefault="006B04A1" w:rsidP="00C51C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3-4. </w:t>
            </w:r>
            <w:r w:rsidR="00D94164" w:rsidRPr="00C33981">
              <w:rPr>
                <w:rFonts w:ascii="Times New Roman" w:hAnsi="Times New Roman"/>
                <w:sz w:val="20"/>
                <w:szCs w:val="20"/>
              </w:rPr>
              <w:t>William Wordsworth, Samuel Taylor Coleridge, Percy Bysshe Shelley és John Keats válogatott költeményei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CF42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F58A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537FB978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FD15" w14:textId="41D76ADA" w:rsidR="008758E0" w:rsidRPr="00C33981" w:rsidRDefault="006B04A1" w:rsidP="00C51C4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5-6. </w:t>
            </w:r>
            <w:r w:rsidR="00D94164" w:rsidRPr="00C33981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="00D94164" w:rsidRPr="00C33981">
              <w:rPr>
                <w:rFonts w:ascii="Times New Roman" w:hAnsi="Times New Roman"/>
                <w:i/>
                <w:sz w:val="20"/>
                <w:szCs w:val="20"/>
              </w:rPr>
              <w:t>Shirley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F476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00A7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42F897A9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1046" w14:textId="08BCA85B" w:rsidR="008758E0" w:rsidRPr="00C33981" w:rsidRDefault="006B04A1" w:rsidP="00B545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>7-8.</w:t>
            </w:r>
            <w:r w:rsidR="00B275C2" w:rsidRPr="00C33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5CA" w:rsidRPr="00C33981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="00B545CA" w:rsidRPr="00C33981">
              <w:rPr>
                <w:rFonts w:ascii="Times New Roman" w:hAnsi="Times New Roman"/>
                <w:i/>
                <w:sz w:val="20"/>
                <w:szCs w:val="20"/>
              </w:rPr>
              <w:t>Jane Eyre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4BE8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F47F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13A7D0E3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A686" w14:textId="77777777" w:rsidR="00C33981" w:rsidRPr="00C33981" w:rsidRDefault="006B04A1" w:rsidP="00B545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9-10. </w:t>
            </w:r>
            <w:r w:rsidR="00B545CA" w:rsidRPr="00C33981">
              <w:rPr>
                <w:rFonts w:ascii="Times New Roman" w:hAnsi="Times New Roman"/>
                <w:sz w:val="20"/>
                <w:szCs w:val="20"/>
              </w:rPr>
              <w:t xml:space="preserve">Anne Brontë: </w:t>
            </w:r>
            <w:r w:rsidR="00B545CA" w:rsidRPr="00C33981">
              <w:rPr>
                <w:rFonts w:ascii="Times New Roman" w:hAnsi="Times New Roman"/>
                <w:i/>
                <w:sz w:val="20"/>
                <w:szCs w:val="20"/>
              </w:rPr>
              <w:t>Wildfell Hall asszonya</w:t>
            </w:r>
            <w:r w:rsidR="00B545CA" w:rsidRPr="00C339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5DEFAF8" w14:textId="40C648BB" w:rsidR="008758E0" w:rsidRPr="00C33981" w:rsidRDefault="00B545CA" w:rsidP="00B545C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>Alfred Tennyson, Robert Browning és Elizabeth Barrett Browning válogatott versei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EE5B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1955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103C1F38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4372" w14:textId="2140D51F" w:rsidR="008758E0" w:rsidRPr="00C33981" w:rsidRDefault="006B04A1" w:rsidP="00C51C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11-12. </w:t>
            </w:r>
            <w:r w:rsidR="00B545CA" w:rsidRPr="00C33981">
              <w:rPr>
                <w:rFonts w:ascii="Times New Roman" w:hAnsi="Times New Roman"/>
                <w:sz w:val="20"/>
                <w:szCs w:val="20"/>
              </w:rPr>
              <w:t xml:space="preserve">Emily Brontë: </w:t>
            </w:r>
            <w:r w:rsidR="00B545CA" w:rsidRPr="00C33981">
              <w:rPr>
                <w:rFonts w:ascii="Times New Roman" w:hAnsi="Times New Roman"/>
                <w:i/>
                <w:sz w:val="20"/>
                <w:szCs w:val="20"/>
              </w:rPr>
              <w:t>Üvöltő szelek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41FB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24A8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4409A307" w14:textId="77777777" w:rsidTr="007D2ED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672E" w14:textId="265D2B61" w:rsidR="008758E0" w:rsidRPr="00C33981" w:rsidRDefault="00772CCA" w:rsidP="00C51C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>13-14.</w:t>
            </w:r>
            <w:r w:rsidR="000557AF" w:rsidRPr="00C33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5CA" w:rsidRPr="00C33981">
              <w:rPr>
                <w:rFonts w:ascii="Times New Roman" w:hAnsi="Times New Roman"/>
                <w:sz w:val="20"/>
                <w:szCs w:val="20"/>
              </w:rPr>
              <w:t xml:space="preserve">George Eliot: </w:t>
            </w:r>
            <w:r w:rsidR="00B545CA" w:rsidRPr="00C33981">
              <w:rPr>
                <w:rFonts w:ascii="Times New Roman" w:hAnsi="Times New Roman"/>
                <w:i/>
                <w:sz w:val="20"/>
                <w:szCs w:val="20"/>
              </w:rPr>
              <w:t>Malom a folyón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469F" w14:textId="77777777" w:rsidR="008758E0" w:rsidRPr="00C33981" w:rsidRDefault="0060360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33981">
              <w:rPr>
                <w:rFonts w:ascii="Times New Roman" w:hAnsi="Times New Roman"/>
                <w:sz w:val="20"/>
                <w:szCs w:val="20"/>
                <w:lang w:val="hu-HU"/>
              </w:rPr>
              <w:t>Szoros szövegolvasás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25CA" w14:textId="77777777" w:rsidR="008758E0" w:rsidRPr="00C33981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C33981" w14:paraId="7B65065C" w14:textId="77777777" w:rsidTr="007D2ED6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2C11" w14:textId="6C7FA38C" w:rsidR="00947B8E" w:rsidRPr="00277960" w:rsidRDefault="00947B8E" w:rsidP="00947B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>Kö</w:t>
            </w:r>
            <w:r w:rsidR="00B545CA" w:rsidRPr="00277960">
              <w:rPr>
                <w:rFonts w:ascii="Times New Roman" w:hAnsi="Times New Roman"/>
                <w:sz w:val="20"/>
                <w:szCs w:val="20"/>
                <w:u w:val="single"/>
              </w:rPr>
              <w:t xml:space="preserve">telező </w:t>
            </w:r>
            <w:r w:rsidR="00277960">
              <w:rPr>
                <w:rFonts w:ascii="Times New Roman" w:hAnsi="Times New Roman"/>
                <w:sz w:val="20"/>
                <w:szCs w:val="20"/>
                <w:u w:val="single"/>
              </w:rPr>
              <w:t xml:space="preserve">szépirodalmi </w:t>
            </w:r>
            <w:r w:rsidR="00B545CA" w:rsidRPr="00277960">
              <w:rPr>
                <w:rFonts w:ascii="Times New Roman" w:hAnsi="Times New Roman"/>
                <w:sz w:val="20"/>
                <w:szCs w:val="20"/>
                <w:u w:val="single"/>
              </w:rPr>
              <w:t>olvasmányok:</w:t>
            </w:r>
          </w:p>
          <w:p w14:paraId="2D01C5ED" w14:textId="77777777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Jane Austen: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Büszkeség és balítélet</w:t>
            </w:r>
          </w:p>
          <w:p w14:paraId="05308D4A" w14:textId="32A9095B" w:rsidR="00C33981" w:rsidRPr="00C33981" w:rsidRDefault="00C33981" w:rsidP="00C339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Anne Brontë: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Wildfell Hall asszonya</w:t>
            </w:r>
          </w:p>
          <w:p w14:paraId="1E46ADFF" w14:textId="77777777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Jane Eyre</w:t>
            </w:r>
          </w:p>
          <w:p w14:paraId="3DD45827" w14:textId="77777777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Charlotte Brontë: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Shirley</w:t>
            </w:r>
          </w:p>
          <w:p w14:paraId="3CCF4747" w14:textId="77777777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Emily Brontë: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Üvöltő szelek</w:t>
            </w:r>
          </w:p>
          <w:p w14:paraId="1F71CF9A" w14:textId="77777777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George Eliot: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Malom a folyón</w:t>
            </w:r>
          </w:p>
          <w:p w14:paraId="69D658E2" w14:textId="1434E22C" w:rsidR="00C33981" w:rsidRPr="00C33981" w:rsidRDefault="00C33981" w:rsidP="00C33981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Mary Shelley: </w:t>
            </w:r>
            <w:r w:rsidRPr="00C33981">
              <w:rPr>
                <w:rFonts w:ascii="Times New Roman" w:hAnsi="Times New Roman"/>
                <w:i/>
                <w:sz w:val="20"/>
                <w:szCs w:val="20"/>
              </w:rPr>
              <w:t>Frankenstein</w:t>
            </w:r>
          </w:p>
          <w:p w14:paraId="6ABD5E46" w14:textId="206D86B5" w:rsidR="00C33981" w:rsidRPr="00C33981" w:rsidRDefault="00C33981" w:rsidP="00C339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Alfred Tennyson, Robert Browning és Elizabeth Barrett Browning </w:t>
            </w:r>
            <w:r w:rsidR="0092407C">
              <w:rPr>
                <w:rFonts w:ascii="Times New Roman" w:hAnsi="Times New Roman"/>
                <w:sz w:val="20"/>
                <w:szCs w:val="20"/>
              </w:rPr>
              <w:t>kijelölt</w:t>
            </w:r>
            <w:r w:rsidRPr="00C33981">
              <w:rPr>
                <w:rFonts w:ascii="Times New Roman" w:hAnsi="Times New Roman"/>
                <w:sz w:val="20"/>
                <w:szCs w:val="20"/>
              </w:rPr>
              <w:t xml:space="preserve"> versei</w:t>
            </w:r>
          </w:p>
          <w:p w14:paraId="4707BCC8" w14:textId="77777777" w:rsidR="008758E0" w:rsidRDefault="00C33981" w:rsidP="009240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3981">
              <w:rPr>
                <w:rFonts w:ascii="Times New Roman" w:hAnsi="Times New Roman"/>
                <w:sz w:val="20"/>
                <w:szCs w:val="20"/>
              </w:rPr>
              <w:t xml:space="preserve">William Wordsworth, Samuel Taylor Coleridge, Percy Bysshe Shelley és John Keats </w:t>
            </w:r>
            <w:r w:rsidR="0092407C">
              <w:rPr>
                <w:rFonts w:ascii="Times New Roman" w:hAnsi="Times New Roman"/>
                <w:sz w:val="20"/>
                <w:szCs w:val="20"/>
              </w:rPr>
              <w:t>kijelölt</w:t>
            </w:r>
            <w:r w:rsidRPr="00C33981">
              <w:rPr>
                <w:rFonts w:ascii="Times New Roman" w:hAnsi="Times New Roman"/>
                <w:sz w:val="20"/>
                <w:szCs w:val="20"/>
              </w:rPr>
              <w:t xml:space="preserve"> költeményei</w:t>
            </w:r>
          </w:p>
          <w:p w14:paraId="015A2C60" w14:textId="4C40FC1F" w:rsidR="00277960" w:rsidRPr="00176C44" w:rsidRDefault="00277960" w:rsidP="00176C44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0156">
              <w:rPr>
                <w:rFonts w:ascii="Times New Roman" w:hAnsi="Times New Roman"/>
                <w:sz w:val="20"/>
                <w:szCs w:val="20"/>
                <w:u w:val="single"/>
              </w:rPr>
              <w:t>Szakirodalom:</w:t>
            </w:r>
            <w:bookmarkStart w:id="1" w:name="_GoBack"/>
            <w:r w:rsidR="00176C44" w:rsidRPr="00176C44">
              <w:rPr>
                <w:rFonts w:ascii="Times New Roman" w:hAnsi="Times New Roman"/>
                <w:sz w:val="20"/>
                <w:szCs w:val="20"/>
              </w:rPr>
              <w:t xml:space="preserve"> ld. az előadásnál</w:t>
            </w:r>
            <w:bookmarkEnd w:id="1"/>
          </w:p>
        </w:tc>
      </w:tr>
    </w:tbl>
    <w:p w14:paraId="6DB1ED0F" w14:textId="77777777" w:rsidR="008758E0" w:rsidRPr="007D2ED6" w:rsidRDefault="008758E0" w:rsidP="008758E0">
      <w:pPr>
        <w:rPr>
          <w:rFonts w:ascii="Times New Roman" w:hAnsi="Times New Roman"/>
          <w:sz w:val="20"/>
          <w:szCs w:val="20"/>
        </w:rPr>
      </w:pPr>
    </w:p>
    <w:p w14:paraId="7FB37312" w14:textId="030E71ED" w:rsidR="008758E0" w:rsidRPr="00EA1EAF" w:rsidRDefault="008758E0" w:rsidP="00EA1EAF">
      <w:pPr>
        <w:widowControl w:val="0"/>
        <w:autoSpaceDE w:val="0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9. A szakmai testületek és a szakterület reprezentatív munkáltatói elvárásainak összhangba hozása a tantárgy tartalmával.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58E0" w:rsidRPr="007D2ED6" w14:paraId="2B787918" w14:textId="77777777" w:rsidTr="007D2ED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E28F" w14:textId="6AFE60C7" w:rsidR="008758E0" w:rsidRPr="007D2ED6" w:rsidRDefault="008758E0" w:rsidP="0092407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92407C" w:rsidRPr="002160DB">
              <w:rPr>
                <w:rFonts w:ascii="Times New Roman" w:hAnsi="Times New Roman"/>
                <w:sz w:val="20"/>
                <w:szCs w:val="20"/>
              </w:rPr>
              <w:t>A tantárgy tartalma összhangban áll a komparatisztika tantárgynak Európa bolognai rendszerű egyetemein oktatott, hasonló elnevezésű féléves tantárgyai tartalmával.</w:t>
            </w:r>
          </w:p>
        </w:tc>
      </w:tr>
    </w:tbl>
    <w:p w14:paraId="47CA4BD6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36CC1A79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10. Értékelés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571"/>
        <w:gridCol w:w="2488"/>
        <w:gridCol w:w="2657"/>
      </w:tblGrid>
      <w:tr w:rsidR="008758E0" w:rsidRPr="007D2ED6" w14:paraId="00089C11" w14:textId="77777777" w:rsidTr="007D2ED6">
        <w:tc>
          <w:tcPr>
            <w:tcW w:w="2315" w:type="dxa"/>
            <w:shd w:val="clear" w:color="auto" w:fill="auto"/>
          </w:tcPr>
          <w:p w14:paraId="4F20639B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tevékenység típusa</w:t>
            </w:r>
          </w:p>
        </w:tc>
        <w:tc>
          <w:tcPr>
            <w:tcW w:w="2571" w:type="dxa"/>
            <w:shd w:val="clear" w:color="auto" w:fill="auto"/>
          </w:tcPr>
          <w:p w14:paraId="289A0E5F" w14:textId="77777777" w:rsidR="008758E0" w:rsidRPr="007D2ED6" w:rsidRDefault="008758E0" w:rsidP="008758E0">
            <w:pPr>
              <w:spacing w:after="0" w:line="240" w:lineRule="auto"/>
              <w:ind w:left="46" w:right="-15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10.1 Értékelési kritériumok</w:t>
            </w:r>
          </w:p>
        </w:tc>
        <w:tc>
          <w:tcPr>
            <w:tcW w:w="2488" w:type="dxa"/>
            <w:shd w:val="clear" w:color="auto" w:fill="auto"/>
          </w:tcPr>
          <w:p w14:paraId="39261CEB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10.2 Értékelési módszerek</w:t>
            </w:r>
          </w:p>
        </w:tc>
        <w:tc>
          <w:tcPr>
            <w:tcW w:w="2657" w:type="dxa"/>
            <w:shd w:val="clear" w:color="auto" w:fill="auto"/>
          </w:tcPr>
          <w:p w14:paraId="06302503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10.3 Ennek aránya a végső jegyben</w:t>
            </w:r>
          </w:p>
        </w:tc>
      </w:tr>
      <w:tr w:rsidR="008758E0" w:rsidRPr="007D2ED6" w14:paraId="68397878" w14:textId="77777777" w:rsidTr="007D2ED6">
        <w:trPr>
          <w:trHeight w:val="135"/>
        </w:trPr>
        <w:tc>
          <w:tcPr>
            <w:tcW w:w="2315" w:type="dxa"/>
            <w:shd w:val="clear" w:color="auto" w:fill="auto"/>
          </w:tcPr>
          <w:p w14:paraId="6557DF96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10.4 Előadás </w:t>
            </w:r>
          </w:p>
        </w:tc>
        <w:tc>
          <w:tcPr>
            <w:tcW w:w="2571" w:type="dxa"/>
            <w:shd w:val="clear" w:color="auto" w:fill="auto"/>
          </w:tcPr>
          <w:p w14:paraId="77296C29" w14:textId="65B86E1C" w:rsidR="008758E0" w:rsidRPr="007D2ED6" w:rsidRDefault="00FD2C4C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előadások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a hozzájuk kapcsolódó szépirodalom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anyagának ismerete</w:t>
            </w:r>
          </w:p>
        </w:tc>
        <w:tc>
          <w:tcPr>
            <w:tcW w:w="2488" w:type="dxa"/>
            <w:shd w:val="clear" w:color="auto" w:fill="auto"/>
          </w:tcPr>
          <w:p w14:paraId="0B27533D" w14:textId="77777777" w:rsidR="008758E0" w:rsidRPr="007D2ED6" w:rsidRDefault="003202D8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Szóbeli</w:t>
            </w:r>
            <w:r w:rsidR="008758E0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vizsga</w:t>
            </w:r>
          </w:p>
        </w:tc>
        <w:tc>
          <w:tcPr>
            <w:tcW w:w="2657" w:type="dxa"/>
            <w:shd w:val="clear" w:color="auto" w:fill="auto"/>
          </w:tcPr>
          <w:p w14:paraId="7EB105D3" w14:textId="77777777" w:rsidR="008758E0" w:rsidRPr="007D2ED6" w:rsidRDefault="005D1CCA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0 %</w:t>
            </w:r>
          </w:p>
        </w:tc>
      </w:tr>
      <w:tr w:rsidR="008758E0" w:rsidRPr="007D2ED6" w14:paraId="1A45E783" w14:textId="77777777" w:rsidTr="007D2ED6">
        <w:trPr>
          <w:trHeight w:val="135"/>
        </w:trPr>
        <w:tc>
          <w:tcPr>
            <w:tcW w:w="2315" w:type="dxa"/>
            <w:shd w:val="clear" w:color="auto" w:fill="auto"/>
          </w:tcPr>
          <w:p w14:paraId="7FCF8781" w14:textId="77777777" w:rsidR="008758E0" w:rsidRPr="007D2ED6" w:rsidRDefault="007D2ED6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10.5 Szeminárium</w:t>
            </w:r>
          </w:p>
        </w:tc>
        <w:tc>
          <w:tcPr>
            <w:tcW w:w="2571" w:type="dxa"/>
            <w:shd w:val="clear" w:color="auto" w:fill="auto"/>
          </w:tcPr>
          <w:p w14:paraId="3E8C260A" w14:textId="12674EE9" w:rsidR="00EA1EAF" w:rsidRDefault="00EA1EAF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szemináriumi (órai) részvétel, aktív hozzájárulás a szövegértelmezésekhez</w:t>
            </w:r>
          </w:p>
          <w:p w14:paraId="578E5FFD" w14:textId="7CBD547B" w:rsidR="008758E0" w:rsidRPr="007D2ED6" w:rsidRDefault="00EA1EAF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Egy elemzés készítése: a téma szakirodalmának használata egy </w:t>
            </w:r>
            <w:r w:rsidR="00506D20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kurzu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 során érintett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vagy a korszakhoz tartozó 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művön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(utóbbi esetben egyeztetés szükséges a témáról)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14:paraId="065EF85C" w14:textId="7A698E0E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A szóbeli munka pontozása</w:t>
            </w:r>
          </w:p>
          <w:p w14:paraId="046A96B3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8240A20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1B57AD8" w14:textId="77777777" w:rsidR="000F1A2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C055E21" w14:textId="77777777" w:rsidR="008758E0" w:rsidRPr="007D2ED6" w:rsidRDefault="00FD2C4C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Írásbeli vizsgadolgozat</w:t>
            </w:r>
          </w:p>
        </w:tc>
        <w:tc>
          <w:tcPr>
            <w:tcW w:w="2657" w:type="dxa"/>
            <w:shd w:val="clear" w:color="auto" w:fill="auto"/>
          </w:tcPr>
          <w:p w14:paraId="1D22020D" w14:textId="70E85401" w:rsidR="008758E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%</w:t>
            </w:r>
          </w:p>
          <w:p w14:paraId="3CB56A3D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6B984DF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7A366AC2" w14:textId="77777777" w:rsidR="000F1A2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4F8DD12" w14:textId="39A53DBD" w:rsidR="00EA1EAF" w:rsidRPr="007D2ED6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  <w:r w:rsidR="00EA1EAF">
              <w:rPr>
                <w:rFonts w:ascii="Times New Roman" w:hAnsi="Times New Roman"/>
                <w:sz w:val="20"/>
                <w:szCs w:val="20"/>
                <w:lang w:val="hu-HU"/>
              </w:rPr>
              <w:t>%</w:t>
            </w:r>
          </w:p>
        </w:tc>
      </w:tr>
      <w:tr w:rsidR="008758E0" w:rsidRPr="007D2ED6" w14:paraId="5C20CC93" w14:textId="77777777" w:rsidTr="007D2ED6">
        <w:tc>
          <w:tcPr>
            <w:tcW w:w="10031" w:type="dxa"/>
            <w:gridSpan w:val="4"/>
            <w:shd w:val="clear" w:color="auto" w:fill="auto"/>
          </w:tcPr>
          <w:p w14:paraId="06CF5C9E" w14:textId="219C1AD0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10.6 Minimális követelmények</w:t>
            </w:r>
          </w:p>
        </w:tc>
      </w:tr>
      <w:tr w:rsidR="008758E0" w:rsidRPr="007D2ED6" w14:paraId="7B0933F7" w14:textId="77777777" w:rsidTr="007D2ED6">
        <w:tc>
          <w:tcPr>
            <w:tcW w:w="10031" w:type="dxa"/>
            <w:gridSpan w:val="4"/>
            <w:shd w:val="clear" w:color="auto" w:fill="auto"/>
          </w:tcPr>
          <w:p w14:paraId="7154FF90" w14:textId="2CA70A44" w:rsidR="008758E0" w:rsidRPr="00EA1EAF" w:rsidRDefault="008758E0" w:rsidP="00EA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A kötelező</w:t>
            </w:r>
            <w:r w:rsidR="00FD2C4C" w:rsidRPr="00EA1EA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szépirodalom </w:t>
            </w: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elolvasása</w:t>
            </w:r>
          </w:p>
          <w:p w14:paraId="1777F967" w14:textId="77777777" w:rsidR="000F1A20" w:rsidRDefault="000F1A20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előadások anyagának értő ismerete (vizsgatételek alapján)</w:t>
            </w:r>
          </w:p>
          <w:p w14:paraId="7B9EE28E" w14:textId="70A7951E" w:rsidR="00EA1EAF" w:rsidRDefault="00EA1EAF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Aktív, hozzájáruló részvétel a szemináriumi szövegértelmezésekhez</w:t>
            </w:r>
          </w:p>
          <w:p w14:paraId="124EFB3E" w14:textId="6810A2A5" w:rsidR="008758E0" w:rsidRPr="00D94164" w:rsidRDefault="00D94164" w:rsidP="000F1A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oldalas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elemző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dolgozat megírása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2B1B7EA5" w14:textId="77777777" w:rsidR="008758E0" w:rsidRDefault="008758E0" w:rsidP="008758E0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379"/>
        <w:gridCol w:w="3379"/>
        <w:gridCol w:w="3307"/>
      </w:tblGrid>
      <w:tr w:rsidR="00893137" w:rsidRPr="007D2ED6" w14:paraId="0DAEEB56" w14:textId="77777777" w:rsidTr="00E015B7">
        <w:trPr>
          <w:trHeight w:val="908"/>
        </w:trPr>
        <w:tc>
          <w:tcPr>
            <w:tcW w:w="3379" w:type="dxa"/>
          </w:tcPr>
          <w:p w14:paraId="58D659C7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Data completării</w:t>
            </w:r>
          </w:p>
          <w:p w14:paraId="323F1F54" w14:textId="2B3A64C0" w:rsidR="007D2ED6" w:rsidRPr="007D2ED6" w:rsidRDefault="000F1A20" w:rsidP="000F1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</w:t>
            </w:r>
            <w:r w:rsidR="007D2ED6"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  <w:r w:rsidR="007D2ED6"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.20</w:t>
            </w:r>
            <w:r w:rsidR="006426B0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="000B3C2E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="007D2ED6"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379" w:type="dxa"/>
          </w:tcPr>
          <w:p w14:paraId="3AA1B2E8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Semnătura titularului  de curs</w:t>
            </w:r>
          </w:p>
          <w:p w14:paraId="68593C81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53ABF329" w14:textId="0EE781F2" w:rsidR="007D2ED6" w:rsidRPr="007D2ED6" w:rsidRDefault="00C51C4F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70DECE" wp14:editId="1F206007">
                  <wp:extent cx="1390650" cy="53486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01" cy="53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14:paraId="069C4CC8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Semnătura titularului  de seminar/ laborator/ proiect</w:t>
            </w:r>
          </w:p>
          <w:p w14:paraId="1721FB35" w14:textId="6DE46365" w:rsidR="007D2ED6" w:rsidRPr="007D2ED6" w:rsidRDefault="00C51C4F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C605E3" wp14:editId="60DCBA64">
                  <wp:extent cx="1390650" cy="534866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01" cy="53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D6" w:rsidRPr="007D2ED6" w14:paraId="4FF21A3D" w14:textId="77777777" w:rsidTr="00E015B7">
        <w:tc>
          <w:tcPr>
            <w:tcW w:w="3379" w:type="dxa"/>
          </w:tcPr>
          <w:p w14:paraId="0A86F5DF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3E8776C6" w14:textId="77777777" w:rsidR="00C51C4F" w:rsidRPr="007D2ED6" w:rsidRDefault="00C51C4F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06092621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77A7"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  <w:t>Data avizării în departament</w:t>
            </w:r>
          </w:p>
          <w:p w14:paraId="280868AD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65A48086" w14:textId="40CA8FE7" w:rsidR="007D2ED6" w:rsidRPr="007D2ED6" w:rsidRDefault="0092407C" w:rsidP="00DE77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16</w:t>
            </w:r>
            <w:r w:rsidR="000B3C2E" w:rsidRPr="0092407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.0</w:t>
            </w:r>
            <w:r w:rsidR="00DE77A7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3</w:t>
            </w:r>
            <w:r w:rsidR="000B3C2E" w:rsidRPr="0092407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.2022.</w:t>
            </w:r>
          </w:p>
        </w:tc>
        <w:tc>
          <w:tcPr>
            <w:tcW w:w="6686" w:type="dxa"/>
            <w:gridSpan w:val="2"/>
          </w:tcPr>
          <w:p w14:paraId="72E3800D" w14:textId="3810A231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1CB457BA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D964EB7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>Semnătura directorului de departament</w:t>
            </w:r>
          </w:p>
          <w:p w14:paraId="1A569BA6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      </w:t>
            </w:r>
          </w:p>
          <w:p w14:paraId="079DE8A1" w14:textId="77777777" w:rsidR="007D2ED6" w:rsidRPr="007D2ED6" w:rsidRDefault="000B3C2E" w:rsidP="000B3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11254A" wp14:editId="0BD082D8">
                  <wp:extent cx="660400" cy="615950"/>
                  <wp:effectExtent l="19050" t="0" r="6350" b="0"/>
                  <wp:docPr id="7" name="Kép 6" descr="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D6" w:rsidRPr="007D2ED6" w14:paraId="607A8AC2" w14:textId="77777777" w:rsidTr="00E015B7">
        <w:tc>
          <w:tcPr>
            <w:tcW w:w="3379" w:type="dxa"/>
          </w:tcPr>
          <w:p w14:paraId="15E58761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686" w:type="dxa"/>
            <w:gridSpan w:val="2"/>
          </w:tcPr>
          <w:p w14:paraId="21875953" w14:textId="77777777" w:rsidR="007D2ED6" w:rsidRPr="007D2ED6" w:rsidRDefault="007D2ED6" w:rsidP="007D2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bookmarkEnd w:id="0"/>
    </w:tbl>
    <w:p w14:paraId="582A2ADD" w14:textId="77777777" w:rsidR="007D2ED6" w:rsidRPr="007D2ED6" w:rsidRDefault="007D2ED6" w:rsidP="008758E0">
      <w:pPr>
        <w:rPr>
          <w:rFonts w:ascii="Times New Roman" w:hAnsi="Times New Roman"/>
          <w:sz w:val="20"/>
          <w:szCs w:val="20"/>
          <w:lang w:val="hu-HU"/>
        </w:rPr>
      </w:pPr>
    </w:p>
    <w:sectPr w:rsidR="007D2ED6" w:rsidRPr="007D2ED6" w:rsidSect="000B3C2E">
      <w:headerReference w:type="default" r:id="rId9"/>
      <w:pgSz w:w="11907" w:h="16839" w:code="9"/>
      <w:pgMar w:top="2265" w:right="1440" w:bottom="851" w:left="144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C05E" w14:textId="77777777" w:rsidR="003165A1" w:rsidRDefault="003165A1" w:rsidP="000B3C2E">
      <w:pPr>
        <w:spacing w:after="0" w:line="240" w:lineRule="auto"/>
      </w:pPr>
      <w:r>
        <w:separator/>
      </w:r>
    </w:p>
  </w:endnote>
  <w:endnote w:type="continuationSeparator" w:id="0">
    <w:p w14:paraId="6E32FB96" w14:textId="77777777" w:rsidR="003165A1" w:rsidRDefault="003165A1" w:rsidP="000B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C0EC" w14:textId="77777777" w:rsidR="003165A1" w:rsidRDefault="003165A1" w:rsidP="000B3C2E">
      <w:pPr>
        <w:spacing w:after="0" w:line="240" w:lineRule="auto"/>
      </w:pPr>
      <w:r>
        <w:separator/>
      </w:r>
    </w:p>
  </w:footnote>
  <w:footnote w:type="continuationSeparator" w:id="0">
    <w:p w14:paraId="3639D86A" w14:textId="77777777" w:rsidR="003165A1" w:rsidRDefault="003165A1" w:rsidP="000B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2423" w14:textId="7D5A6020" w:rsidR="00190E43" w:rsidRDefault="00190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1817D83" wp14:editId="2FB8BDEB">
          <wp:simplePos x="0" y="0"/>
          <wp:positionH relativeFrom="column">
            <wp:posOffset>-654050</wp:posOffset>
          </wp:positionH>
          <wp:positionV relativeFrom="paragraph">
            <wp:posOffset>135890</wp:posOffset>
          </wp:positionV>
          <wp:extent cx="2324100" cy="1181100"/>
          <wp:effectExtent l="0" t="0" r="0" b="0"/>
          <wp:wrapTight wrapText="bothSides">
            <wp:wrapPolygon edited="0">
              <wp:start x="3364" y="3484"/>
              <wp:lineTo x="2479" y="4181"/>
              <wp:lineTo x="708" y="8013"/>
              <wp:lineTo x="1239" y="14981"/>
              <wp:lineTo x="3187" y="17768"/>
              <wp:lineTo x="3364" y="17768"/>
              <wp:lineTo x="5843" y="17768"/>
              <wp:lineTo x="14872" y="17768"/>
              <wp:lineTo x="18059" y="17071"/>
              <wp:lineTo x="18059" y="14632"/>
              <wp:lineTo x="20715" y="9406"/>
              <wp:lineTo x="21069" y="4877"/>
              <wp:lineTo x="18413" y="3832"/>
              <wp:lineTo x="6020" y="3484"/>
              <wp:lineTo x="3364" y="3484"/>
            </wp:wrapPolygon>
          </wp:wrapTight>
          <wp:docPr id="6" name="Picture 2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D5AA41B" wp14:editId="79568170">
          <wp:simplePos x="0" y="0"/>
          <wp:positionH relativeFrom="column">
            <wp:posOffset>4091940</wp:posOffset>
          </wp:positionH>
          <wp:positionV relativeFrom="paragraph">
            <wp:posOffset>53340</wp:posOffset>
          </wp:positionV>
          <wp:extent cx="876300" cy="876300"/>
          <wp:effectExtent l="0" t="0" r="0" b="0"/>
          <wp:wrapNone/>
          <wp:docPr id="5" name="Picture 28" descr="Facultatea de Litere, Universitatea Babeș-Boly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tea de Litere, Universitatea Babeș-Boly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B09988" wp14:editId="1F32DD24">
              <wp:simplePos x="0" y="0"/>
              <wp:positionH relativeFrom="column">
                <wp:posOffset>4648200</wp:posOffset>
              </wp:positionH>
              <wp:positionV relativeFrom="paragraph">
                <wp:posOffset>53340</wp:posOffset>
              </wp:positionV>
              <wp:extent cx="1514475" cy="1397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39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FA0AC" w14:textId="77777777" w:rsidR="00190E43" w:rsidRPr="007A1FD5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Facultatea de Literee</w:t>
                          </w:r>
                        </w:p>
                        <w:p w14:paraId="2083BB61" w14:textId="77777777" w:rsidR="00190E43" w:rsidRPr="007A1FD5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Str. Horea nr. 31</w:t>
                          </w:r>
                        </w:p>
                        <w:p w14:paraId="78B84A5B" w14:textId="77777777" w:rsidR="00190E43" w:rsidRPr="007A1FD5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400202, Cluj-Napocaa</w:t>
                          </w:r>
                        </w:p>
                        <w:p w14:paraId="51098842" w14:textId="77777777" w:rsidR="00190E43" w:rsidRPr="00F001FD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Tel: 0264 5322388</w:t>
                          </w:r>
                        </w:p>
                        <w:p w14:paraId="75BD27E9" w14:textId="77777777" w:rsidR="00190E43" w:rsidRPr="00F001FD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Fax: 0264 4323033</w:t>
                          </w:r>
                        </w:p>
                        <w:p w14:paraId="74B110F9" w14:textId="77777777" w:rsidR="00190E43" w:rsidRPr="00F001FD" w:rsidRDefault="00190E43" w:rsidP="00190E4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sz w:val="18"/>
                              <w:szCs w:val="20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E-mail:</w:t>
                          </w:r>
                          <w:hyperlink r:id="rId3" w:history="1">
                            <w:r w:rsidRPr="00F001FD">
                              <w:rPr>
                                <w:rStyle w:val="Hyperlink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lett@lett.ubbcluj.ro</w:t>
                            </w:r>
                          </w:hyperlink>
                          <w:r w:rsidRPr="00F001FD">
                            <w:rPr>
                              <w:sz w:val="18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099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6pt;margin-top:4.2pt;width:119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" filled="f" stroked="f">
              <v:textbox>
                <w:txbxContent>
                  <w:p w14:paraId="26BFA0AC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Facultatea de Literee</w:t>
                    </w:r>
                  </w:p>
                  <w:p w14:paraId="2083BB61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Str. Horea nr. 31</w:t>
                    </w:r>
                  </w:p>
                  <w:p w14:paraId="78B84A5B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400202, Cluj-Napocaa</w:t>
                    </w:r>
                  </w:p>
                  <w:p w14:paraId="51098842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Tel: 0264 5322388</w:t>
                    </w:r>
                  </w:p>
                  <w:p w14:paraId="75BD27E9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Fax: 0264 4323033</w:t>
                    </w:r>
                  </w:p>
                  <w:p w14:paraId="74B110F9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sz w:val="18"/>
                        <w:szCs w:val="20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E-mail:</w:t>
                    </w:r>
                    <w:hyperlink r:id="rId4" w:history="1">
                      <w:r w:rsidRPr="00F001FD">
                        <w:rPr>
                          <w:rStyle w:val="Hyperlink"/>
                          <w:rFonts w:ascii="Palatino Linotype" w:hAnsi="Palatino Linotype"/>
                          <w:sz w:val="16"/>
                          <w:szCs w:val="16"/>
                        </w:rPr>
                        <w:t>lett@lett.ubbcluj.ro</w:t>
                      </w:r>
                    </w:hyperlink>
                    <w:r w:rsidRPr="00F001FD">
                      <w:rPr>
                        <w:sz w:val="18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FFEA2FD" wp14:editId="4B8AE3B7">
              <wp:simplePos x="0" y="0"/>
              <wp:positionH relativeFrom="column">
                <wp:posOffset>320675</wp:posOffset>
              </wp:positionH>
              <wp:positionV relativeFrom="paragraph">
                <wp:posOffset>972819</wp:posOffset>
              </wp:positionV>
              <wp:extent cx="5725795" cy="0"/>
              <wp:effectExtent l="0" t="0" r="0" b="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257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0FC1A8"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" strokecolor="#7f7f7f [1612]" strokeweight=".5pt">
              <v:stroke joinstyle="miter"/>
              <o:lock v:ext="edit" shapetype="f"/>
            </v:line>
          </w:pict>
        </mc:Fallback>
      </mc:AlternateContent>
    </w:r>
  </w:p>
  <w:p w14:paraId="1FDA4B47" w14:textId="77777777" w:rsidR="00190E43" w:rsidRDefault="00190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/>
      </w:rPr>
    </w:lvl>
  </w:abstractNum>
  <w:abstractNum w:abstractNumId="1" w15:restartNumberingAfterBreak="0">
    <w:nsid w:val="15F06008"/>
    <w:multiLevelType w:val="hybridMultilevel"/>
    <w:tmpl w:val="C59EF8AE"/>
    <w:lvl w:ilvl="0" w:tplc="AEDA552A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3D1"/>
    <w:multiLevelType w:val="hybridMultilevel"/>
    <w:tmpl w:val="EC807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3A4"/>
    <w:multiLevelType w:val="hybridMultilevel"/>
    <w:tmpl w:val="E758D4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5F92"/>
    <w:multiLevelType w:val="hybridMultilevel"/>
    <w:tmpl w:val="43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CE5"/>
    <w:multiLevelType w:val="hybridMultilevel"/>
    <w:tmpl w:val="AAAE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4621"/>
    <w:multiLevelType w:val="hybridMultilevel"/>
    <w:tmpl w:val="AFC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6204"/>
    <w:multiLevelType w:val="hybridMultilevel"/>
    <w:tmpl w:val="2848B7A6"/>
    <w:lvl w:ilvl="0" w:tplc="92D439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0"/>
    <w:rsid w:val="000107DE"/>
    <w:rsid w:val="0004759D"/>
    <w:rsid w:val="000557AF"/>
    <w:rsid w:val="00056AF3"/>
    <w:rsid w:val="000745FE"/>
    <w:rsid w:val="0009282D"/>
    <w:rsid w:val="000958FD"/>
    <w:rsid w:val="000A3CBC"/>
    <w:rsid w:val="000A5010"/>
    <w:rsid w:val="000B3C2E"/>
    <w:rsid w:val="000E119A"/>
    <w:rsid w:val="000E6C61"/>
    <w:rsid w:val="000F1A20"/>
    <w:rsid w:val="000F64A7"/>
    <w:rsid w:val="00102A8A"/>
    <w:rsid w:val="001171C7"/>
    <w:rsid w:val="00133018"/>
    <w:rsid w:val="00137C67"/>
    <w:rsid w:val="00144E8A"/>
    <w:rsid w:val="00176C44"/>
    <w:rsid w:val="00177ADA"/>
    <w:rsid w:val="00190E43"/>
    <w:rsid w:val="00194586"/>
    <w:rsid w:val="001C0EB3"/>
    <w:rsid w:val="001D380D"/>
    <w:rsid w:val="002005C8"/>
    <w:rsid w:val="00201E7B"/>
    <w:rsid w:val="002345EC"/>
    <w:rsid w:val="002360F6"/>
    <w:rsid w:val="00244FEB"/>
    <w:rsid w:val="0024554A"/>
    <w:rsid w:val="00261105"/>
    <w:rsid w:val="00261CA1"/>
    <w:rsid w:val="00277960"/>
    <w:rsid w:val="00295A70"/>
    <w:rsid w:val="00297A4E"/>
    <w:rsid w:val="002B75BD"/>
    <w:rsid w:val="002B78DB"/>
    <w:rsid w:val="002D04E7"/>
    <w:rsid w:val="002D6EB2"/>
    <w:rsid w:val="002E21D2"/>
    <w:rsid w:val="002E5BDD"/>
    <w:rsid w:val="002E6B55"/>
    <w:rsid w:val="003165A1"/>
    <w:rsid w:val="00316C19"/>
    <w:rsid w:val="00317EB4"/>
    <w:rsid w:val="003202D8"/>
    <w:rsid w:val="00327421"/>
    <w:rsid w:val="003309EE"/>
    <w:rsid w:val="0038348B"/>
    <w:rsid w:val="003A0DDA"/>
    <w:rsid w:val="003C52CF"/>
    <w:rsid w:val="003E3BDE"/>
    <w:rsid w:val="003F410C"/>
    <w:rsid w:val="00411D9A"/>
    <w:rsid w:val="00412B2B"/>
    <w:rsid w:val="004172C4"/>
    <w:rsid w:val="0043287A"/>
    <w:rsid w:val="00446623"/>
    <w:rsid w:val="00462F26"/>
    <w:rsid w:val="00467F9D"/>
    <w:rsid w:val="0048706A"/>
    <w:rsid w:val="00495E3B"/>
    <w:rsid w:val="004A1C01"/>
    <w:rsid w:val="004A4909"/>
    <w:rsid w:val="004C0FA5"/>
    <w:rsid w:val="004C5EEA"/>
    <w:rsid w:val="004E7875"/>
    <w:rsid w:val="00503611"/>
    <w:rsid w:val="00506D20"/>
    <w:rsid w:val="00520D6A"/>
    <w:rsid w:val="005245D3"/>
    <w:rsid w:val="00526C93"/>
    <w:rsid w:val="005345F6"/>
    <w:rsid w:val="00577ACF"/>
    <w:rsid w:val="005D1CCA"/>
    <w:rsid w:val="005D7B7E"/>
    <w:rsid w:val="005F0E6E"/>
    <w:rsid w:val="0060360A"/>
    <w:rsid w:val="0060683A"/>
    <w:rsid w:val="006426B0"/>
    <w:rsid w:val="006470D6"/>
    <w:rsid w:val="0065091E"/>
    <w:rsid w:val="00654B42"/>
    <w:rsid w:val="00660A47"/>
    <w:rsid w:val="00680C5E"/>
    <w:rsid w:val="00684101"/>
    <w:rsid w:val="00695B3E"/>
    <w:rsid w:val="006B04A1"/>
    <w:rsid w:val="006B4EBD"/>
    <w:rsid w:val="006D3E36"/>
    <w:rsid w:val="006F29D0"/>
    <w:rsid w:val="00714D44"/>
    <w:rsid w:val="00714E50"/>
    <w:rsid w:val="00736EBA"/>
    <w:rsid w:val="0075118B"/>
    <w:rsid w:val="00760156"/>
    <w:rsid w:val="007621AD"/>
    <w:rsid w:val="00766932"/>
    <w:rsid w:val="00772CCA"/>
    <w:rsid w:val="00776DFB"/>
    <w:rsid w:val="00785CB4"/>
    <w:rsid w:val="00793ADF"/>
    <w:rsid w:val="00794926"/>
    <w:rsid w:val="007C3511"/>
    <w:rsid w:val="007D1017"/>
    <w:rsid w:val="007D2ED6"/>
    <w:rsid w:val="007D7ABE"/>
    <w:rsid w:val="007E213E"/>
    <w:rsid w:val="007E496B"/>
    <w:rsid w:val="007F13DD"/>
    <w:rsid w:val="008033AF"/>
    <w:rsid w:val="0080340B"/>
    <w:rsid w:val="008142EC"/>
    <w:rsid w:val="008226BF"/>
    <w:rsid w:val="00867A9C"/>
    <w:rsid w:val="0087250B"/>
    <w:rsid w:val="008758E0"/>
    <w:rsid w:val="00882C5C"/>
    <w:rsid w:val="00893137"/>
    <w:rsid w:val="008945B3"/>
    <w:rsid w:val="008959B2"/>
    <w:rsid w:val="008B0001"/>
    <w:rsid w:val="008B1DB0"/>
    <w:rsid w:val="008D0AF3"/>
    <w:rsid w:val="00920F2E"/>
    <w:rsid w:val="0092226E"/>
    <w:rsid w:val="0092407C"/>
    <w:rsid w:val="009243F2"/>
    <w:rsid w:val="009322DD"/>
    <w:rsid w:val="009322F1"/>
    <w:rsid w:val="009413BB"/>
    <w:rsid w:val="009413DB"/>
    <w:rsid w:val="00944436"/>
    <w:rsid w:val="00947B8E"/>
    <w:rsid w:val="00951D69"/>
    <w:rsid w:val="00966B38"/>
    <w:rsid w:val="00967C60"/>
    <w:rsid w:val="00973990"/>
    <w:rsid w:val="00982CC5"/>
    <w:rsid w:val="0098423C"/>
    <w:rsid w:val="00987138"/>
    <w:rsid w:val="00987F93"/>
    <w:rsid w:val="009A4E21"/>
    <w:rsid w:val="00A00FE9"/>
    <w:rsid w:val="00A067C4"/>
    <w:rsid w:val="00A17C3B"/>
    <w:rsid w:val="00A300E1"/>
    <w:rsid w:val="00A31AA8"/>
    <w:rsid w:val="00A42ED2"/>
    <w:rsid w:val="00A57743"/>
    <w:rsid w:val="00A612FB"/>
    <w:rsid w:val="00A90EDD"/>
    <w:rsid w:val="00A93881"/>
    <w:rsid w:val="00AA4066"/>
    <w:rsid w:val="00AC573A"/>
    <w:rsid w:val="00AD329D"/>
    <w:rsid w:val="00B0482D"/>
    <w:rsid w:val="00B13C9A"/>
    <w:rsid w:val="00B201BF"/>
    <w:rsid w:val="00B275C2"/>
    <w:rsid w:val="00B35193"/>
    <w:rsid w:val="00B35995"/>
    <w:rsid w:val="00B4263E"/>
    <w:rsid w:val="00B47F4B"/>
    <w:rsid w:val="00B545CA"/>
    <w:rsid w:val="00B56A23"/>
    <w:rsid w:val="00B651DD"/>
    <w:rsid w:val="00B70011"/>
    <w:rsid w:val="00B81E1B"/>
    <w:rsid w:val="00B928FF"/>
    <w:rsid w:val="00BA0F34"/>
    <w:rsid w:val="00BB1ED3"/>
    <w:rsid w:val="00BD0FC0"/>
    <w:rsid w:val="00BD2C05"/>
    <w:rsid w:val="00BD7B29"/>
    <w:rsid w:val="00BF120C"/>
    <w:rsid w:val="00C07CA6"/>
    <w:rsid w:val="00C30BEF"/>
    <w:rsid w:val="00C33981"/>
    <w:rsid w:val="00C34549"/>
    <w:rsid w:val="00C363A6"/>
    <w:rsid w:val="00C42C8A"/>
    <w:rsid w:val="00C51C4F"/>
    <w:rsid w:val="00C541A0"/>
    <w:rsid w:val="00C552EF"/>
    <w:rsid w:val="00C752F7"/>
    <w:rsid w:val="00CA0C5A"/>
    <w:rsid w:val="00CA1802"/>
    <w:rsid w:val="00CA7EBB"/>
    <w:rsid w:val="00CC1669"/>
    <w:rsid w:val="00CC7FEC"/>
    <w:rsid w:val="00CF6292"/>
    <w:rsid w:val="00D154B8"/>
    <w:rsid w:val="00D25678"/>
    <w:rsid w:val="00D32298"/>
    <w:rsid w:val="00D335E8"/>
    <w:rsid w:val="00D47F31"/>
    <w:rsid w:val="00D53341"/>
    <w:rsid w:val="00D66C5D"/>
    <w:rsid w:val="00D94164"/>
    <w:rsid w:val="00DB2862"/>
    <w:rsid w:val="00DB3775"/>
    <w:rsid w:val="00DD1911"/>
    <w:rsid w:val="00DE77A7"/>
    <w:rsid w:val="00E015B7"/>
    <w:rsid w:val="00E26620"/>
    <w:rsid w:val="00E32DD3"/>
    <w:rsid w:val="00E4426A"/>
    <w:rsid w:val="00E47BFB"/>
    <w:rsid w:val="00E53594"/>
    <w:rsid w:val="00E660E3"/>
    <w:rsid w:val="00E7168D"/>
    <w:rsid w:val="00EA1EAF"/>
    <w:rsid w:val="00EA7214"/>
    <w:rsid w:val="00EB31D3"/>
    <w:rsid w:val="00EB48F6"/>
    <w:rsid w:val="00EB5071"/>
    <w:rsid w:val="00EB5876"/>
    <w:rsid w:val="00EB7152"/>
    <w:rsid w:val="00EC0237"/>
    <w:rsid w:val="00EC1967"/>
    <w:rsid w:val="00EC643C"/>
    <w:rsid w:val="00ED24D5"/>
    <w:rsid w:val="00F06A9D"/>
    <w:rsid w:val="00F35C05"/>
    <w:rsid w:val="00F4224F"/>
    <w:rsid w:val="00F5448D"/>
    <w:rsid w:val="00F55AA5"/>
    <w:rsid w:val="00F55AFB"/>
    <w:rsid w:val="00F83DAD"/>
    <w:rsid w:val="00F85489"/>
    <w:rsid w:val="00F91F0E"/>
    <w:rsid w:val="00FA4642"/>
    <w:rsid w:val="00FB42C3"/>
    <w:rsid w:val="00FB5A05"/>
    <w:rsid w:val="00FC4027"/>
    <w:rsid w:val="00FC6D7E"/>
    <w:rsid w:val="00FD2C4C"/>
    <w:rsid w:val="00FD4DEF"/>
    <w:rsid w:val="00FD5C66"/>
    <w:rsid w:val="00FE470E"/>
    <w:rsid w:val="00FE6C86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CF2B"/>
  <w15:docId w15:val="{96813F2C-175F-405F-B84F-F399367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E0"/>
    <w:pPr>
      <w:spacing w:after="200" w:line="276" w:lineRule="auto"/>
    </w:pPr>
    <w:rPr>
      <w:rFonts w:ascii="Calibri" w:eastAsia="Times New Roman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72C4"/>
  </w:style>
  <w:style w:type="character" w:styleId="Hyperlink">
    <w:name w:val="Hyperlink"/>
    <w:uiPriority w:val="99"/>
    <w:unhideWhenUsed/>
    <w:rsid w:val="004172C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DD3"/>
    <w:rPr>
      <w:rFonts w:ascii="Calibri" w:eastAsia="Times New Roman" w:hAnsi="Calibri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DD3"/>
    <w:rPr>
      <w:rFonts w:ascii="Calibri" w:eastAsia="Times New Roman" w:hAnsi="Calibri"/>
      <w:b/>
      <w:bCs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DD3"/>
    <w:rPr>
      <w:rFonts w:ascii="Tahoma" w:eastAsia="Times New Roman" w:hAnsi="Tahoma" w:cs="Tahoma"/>
      <w:sz w:val="16"/>
      <w:szCs w:val="16"/>
      <w:lang w:val="ro-RO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t@lett.ubbcluj.r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lett@lett.ubbcluj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TANTÁRGY ADATLAPJA</vt:lpstr>
      <vt:lpstr>A TANTÁRGY ADATLAPJA</vt:lpstr>
    </vt:vector>
  </TitlesOfParts>
  <Company/>
  <LinksUpToDate>false</LinksUpToDate>
  <CharactersWithSpaces>7745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subject/>
  <dc:creator>Istvan</dc:creator>
  <cp:keywords/>
  <cp:lastModifiedBy>Microsoft account</cp:lastModifiedBy>
  <cp:revision>15</cp:revision>
  <dcterms:created xsi:type="dcterms:W3CDTF">2022-08-25T09:10:00Z</dcterms:created>
  <dcterms:modified xsi:type="dcterms:W3CDTF">2022-10-05T07:06:00Z</dcterms:modified>
</cp:coreProperties>
</file>